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D751" w14:textId="54ABC291" w:rsidR="00F40068" w:rsidRPr="001F41F9" w:rsidRDefault="001F41F9" w:rsidP="00F40068">
      <w:pPr>
        <w:pStyle w:val="NormalWeb"/>
        <w:jc w:val="center"/>
        <w:rPr>
          <w:b/>
          <w:bCs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9C8DF57" wp14:editId="6E94C5AD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944880" cy="944880"/>
            <wp:effectExtent l="0" t="0" r="7620" b="7620"/>
            <wp:wrapThrough wrapText="bothSides">
              <wp:wrapPolygon edited="0">
                <wp:start x="6532" y="0"/>
                <wp:lineTo x="3484" y="1742"/>
                <wp:lineTo x="0" y="5661"/>
                <wp:lineTo x="0" y="16984"/>
                <wp:lineTo x="5661" y="20903"/>
                <wp:lineTo x="6532" y="21339"/>
                <wp:lineTo x="14806" y="21339"/>
                <wp:lineTo x="15677" y="20903"/>
                <wp:lineTo x="21339" y="16984"/>
                <wp:lineTo x="21339" y="5226"/>
                <wp:lineTo x="17419" y="1306"/>
                <wp:lineTo x="14806" y="0"/>
                <wp:lineTo x="6532" y="0"/>
              </wp:wrapPolygon>
            </wp:wrapThrough>
            <wp:docPr id="1394689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89179" name="Image 13946891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068" w:rsidRPr="001F41F9">
        <w:rPr>
          <w:b/>
          <w:bCs/>
          <w:sz w:val="32"/>
          <w:szCs w:val="32"/>
        </w:rPr>
        <w:t>FEDERATION CALEDONIENNE DE FOOTBALL</w:t>
      </w:r>
    </w:p>
    <w:p w14:paraId="6513078E" w14:textId="6E17152A" w:rsidR="00F40068" w:rsidRPr="001F41F9" w:rsidRDefault="00F40068" w:rsidP="00F40068">
      <w:pPr>
        <w:pStyle w:val="NormalWeb"/>
        <w:jc w:val="center"/>
        <w:rPr>
          <w:b/>
          <w:bCs/>
        </w:rPr>
      </w:pPr>
      <w:r w:rsidRPr="001F41F9">
        <w:rPr>
          <w:b/>
          <w:bCs/>
        </w:rPr>
        <w:t>U1</w:t>
      </w:r>
      <w:r w:rsidR="00285614">
        <w:rPr>
          <w:b/>
          <w:bCs/>
        </w:rPr>
        <w:t>7</w:t>
      </w:r>
      <w:r w:rsidRPr="001F41F9">
        <w:rPr>
          <w:b/>
          <w:bCs/>
        </w:rPr>
        <w:t xml:space="preserve"> – SAISON 202</w:t>
      </w:r>
      <w:r w:rsidR="00285614">
        <w:rPr>
          <w:b/>
          <w:bCs/>
        </w:rPr>
        <w:t>5</w:t>
      </w:r>
    </w:p>
    <w:p w14:paraId="0BB2EE2C" w14:textId="7CC5D234" w:rsidR="00CE041F" w:rsidRDefault="00E076B2" w:rsidP="00F40068">
      <w:pPr>
        <w:pStyle w:val="NormalWeb"/>
        <w:jc w:val="center"/>
        <w:rPr>
          <w:i/>
          <w:iCs/>
        </w:rPr>
      </w:pPr>
      <w:r w:rsidRPr="001F41F9">
        <w:rPr>
          <w:i/>
          <w:iCs/>
        </w:rPr>
        <w:t>CHAMPIONNAT</w:t>
      </w:r>
      <w:r w:rsidR="00735617" w:rsidRPr="001F41F9">
        <w:rPr>
          <w:i/>
          <w:iCs/>
        </w:rPr>
        <w:t>S</w:t>
      </w:r>
      <w:r w:rsidRPr="001F41F9">
        <w:rPr>
          <w:i/>
          <w:iCs/>
        </w:rPr>
        <w:t xml:space="preserve"> </w:t>
      </w:r>
      <w:r w:rsidR="00735617" w:rsidRPr="001F41F9">
        <w:rPr>
          <w:i/>
          <w:iCs/>
        </w:rPr>
        <w:t xml:space="preserve">ET COUPE </w:t>
      </w:r>
      <w:r w:rsidR="00F40068" w:rsidRPr="001F41F9">
        <w:rPr>
          <w:i/>
          <w:iCs/>
        </w:rPr>
        <w:t xml:space="preserve">DE </w:t>
      </w:r>
      <w:r w:rsidR="00735617" w:rsidRPr="001F41F9">
        <w:rPr>
          <w:i/>
          <w:iCs/>
        </w:rPr>
        <w:t>N</w:t>
      </w:r>
      <w:r w:rsidR="00F40068" w:rsidRPr="001F41F9">
        <w:rPr>
          <w:i/>
          <w:iCs/>
        </w:rPr>
        <w:t>OUVELLE-</w:t>
      </w:r>
      <w:r w:rsidR="00735617" w:rsidRPr="001F41F9">
        <w:rPr>
          <w:i/>
          <w:iCs/>
        </w:rPr>
        <w:t>C</w:t>
      </w:r>
      <w:r w:rsidR="00F40068" w:rsidRPr="001F41F9">
        <w:rPr>
          <w:i/>
          <w:iCs/>
        </w:rPr>
        <w:t>ALEDONIE</w:t>
      </w:r>
    </w:p>
    <w:p w14:paraId="2112161B" w14:textId="77777777" w:rsidR="006412D2" w:rsidRDefault="006412D2" w:rsidP="006412D2">
      <w:pPr>
        <w:pStyle w:val="NormalWeb"/>
        <w:spacing w:after="120"/>
        <w:jc w:val="both"/>
        <w:rPr>
          <w:rStyle w:val="Accentuation"/>
          <w:i w:val="0"/>
          <w:iCs w:val="0"/>
          <w:sz w:val="22"/>
          <w:szCs w:val="22"/>
        </w:rPr>
      </w:pPr>
    </w:p>
    <w:p w14:paraId="2CBA17E8" w14:textId="657A54BF" w:rsidR="00735617" w:rsidRPr="001F41F9" w:rsidRDefault="00E076B2" w:rsidP="006412D2">
      <w:pPr>
        <w:pStyle w:val="NormalWeb"/>
        <w:spacing w:after="120"/>
        <w:jc w:val="both"/>
        <w:rPr>
          <w:rStyle w:val="Accentuation"/>
          <w:i w:val="0"/>
          <w:iCs w:val="0"/>
          <w:sz w:val="22"/>
          <w:szCs w:val="22"/>
        </w:rPr>
      </w:pPr>
      <w:r w:rsidRPr="001F41F9">
        <w:rPr>
          <w:rStyle w:val="Accentuation"/>
          <w:i w:val="0"/>
          <w:iCs w:val="0"/>
          <w:sz w:val="22"/>
          <w:szCs w:val="22"/>
        </w:rPr>
        <w:t xml:space="preserve">La Commission </w:t>
      </w:r>
      <w:r w:rsidR="001F41F9">
        <w:rPr>
          <w:rStyle w:val="Accentuation"/>
          <w:i w:val="0"/>
          <w:iCs w:val="0"/>
          <w:sz w:val="22"/>
          <w:szCs w:val="22"/>
        </w:rPr>
        <w:t>F</w:t>
      </w:r>
      <w:r w:rsidRPr="001F41F9">
        <w:rPr>
          <w:rStyle w:val="Accentuation"/>
          <w:i w:val="0"/>
          <w:iCs w:val="0"/>
          <w:sz w:val="22"/>
          <w:szCs w:val="22"/>
        </w:rPr>
        <w:t>édéral</w:t>
      </w:r>
      <w:r w:rsidR="00CE041F" w:rsidRPr="001F41F9">
        <w:rPr>
          <w:rStyle w:val="Accentuation"/>
          <w:i w:val="0"/>
          <w:iCs w:val="0"/>
          <w:sz w:val="22"/>
          <w:szCs w:val="22"/>
        </w:rPr>
        <w:t>e d</w:t>
      </w:r>
      <w:r w:rsidR="006342F2" w:rsidRPr="001F41F9">
        <w:rPr>
          <w:rStyle w:val="Accentuation"/>
          <w:i w:val="0"/>
          <w:iCs w:val="0"/>
          <w:sz w:val="22"/>
          <w:szCs w:val="22"/>
        </w:rPr>
        <w:t>u Football</w:t>
      </w:r>
      <w:r w:rsidR="00CE041F" w:rsidRPr="001F41F9">
        <w:rPr>
          <w:rStyle w:val="Accentuation"/>
          <w:i w:val="0"/>
          <w:iCs w:val="0"/>
          <w:sz w:val="22"/>
          <w:szCs w:val="22"/>
        </w:rPr>
        <w:t xml:space="preserve"> de</w:t>
      </w:r>
      <w:r w:rsidR="006342F2" w:rsidRPr="001F41F9">
        <w:rPr>
          <w:rStyle w:val="Accentuation"/>
          <w:i w:val="0"/>
          <w:iCs w:val="0"/>
          <w:sz w:val="22"/>
          <w:szCs w:val="22"/>
        </w:rPr>
        <w:t>s</w:t>
      </w:r>
      <w:r w:rsidR="00CE041F" w:rsidRPr="001F41F9">
        <w:rPr>
          <w:rStyle w:val="Accentuation"/>
          <w:i w:val="0"/>
          <w:iCs w:val="0"/>
          <w:sz w:val="22"/>
          <w:szCs w:val="22"/>
        </w:rPr>
        <w:t xml:space="preserve"> Jeunes</w:t>
      </w:r>
      <w:r w:rsidR="00CE041F" w:rsidRPr="001F41F9">
        <w:rPr>
          <w:i/>
          <w:iCs/>
          <w:sz w:val="22"/>
          <w:szCs w:val="22"/>
        </w:rPr>
        <w:t xml:space="preserve"> </w:t>
      </w:r>
      <w:r w:rsidR="00CE041F" w:rsidRPr="001F41F9">
        <w:rPr>
          <w:rStyle w:val="Accentuation"/>
          <w:i w:val="0"/>
          <w:iCs w:val="0"/>
          <w:sz w:val="22"/>
          <w:szCs w:val="22"/>
        </w:rPr>
        <w:t>orga</w:t>
      </w:r>
      <w:r w:rsidR="0065111D" w:rsidRPr="001F41F9">
        <w:rPr>
          <w:rStyle w:val="Accentuation"/>
          <w:i w:val="0"/>
          <w:iCs w:val="0"/>
          <w:sz w:val="22"/>
          <w:szCs w:val="22"/>
        </w:rPr>
        <w:t xml:space="preserve">nise </w:t>
      </w:r>
      <w:r w:rsidR="00735617" w:rsidRPr="001F41F9">
        <w:rPr>
          <w:rStyle w:val="Accentuation"/>
          <w:i w:val="0"/>
          <w:iCs w:val="0"/>
          <w:sz w:val="22"/>
          <w:szCs w:val="22"/>
        </w:rPr>
        <w:t>des</w:t>
      </w:r>
      <w:r w:rsidR="0065111D" w:rsidRPr="001F41F9">
        <w:rPr>
          <w:rStyle w:val="Accentuation"/>
          <w:i w:val="0"/>
          <w:iCs w:val="0"/>
          <w:sz w:val="22"/>
          <w:szCs w:val="22"/>
        </w:rPr>
        <w:t xml:space="preserve"> C</w:t>
      </w:r>
      <w:r w:rsidR="00F53C9E" w:rsidRPr="001F41F9">
        <w:rPr>
          <w:rStyle w:val="Accentuation"/>
          <w:i w:val="0"/>
          <w:iCs w:val="0"/>
          <w:sz w:val="22"/>
          <w:szCs w:val="22"/>
        </w:rPr>
        <w:t>ompétitions</w:t>
      </w:r>
      <w:r w:rsidR="0065111D" w:rsidRPr="001F41F9">
        <w:rPr>
          <w:rStyle w:val="Accentuation"/>
          <w:i w:val="0"/>
          <w:iCs w:val="0"/>
          <w:sz w:val="22"/>
          <w:szCs w:val="22"/>
        </w:rPr>
        <w:t xml:space="preserve"> </w:t>
      </w:r>
      <w:r w:rsidRPr="001F41F9">
        <w:rPr>
          <w:rStyle w:val="Accentuation"/>
          <w:i w:val="0"/>
          <w:iCs w:val="0"/>
          <w:sz w:val="22"/>
          <w:szCs w:val="22"/>
        </w:rPr>
        <w:t>U1</w:t>
      </w:r>
      <w:r w:rsidR="00285614">
        <w:rPr>
          <w:rStyle w:val="Accentuation"/>
          <w:i w:val="0"/>
          <w:iCs w:val="0"/>
          <w:sz w:val="22"/>
          <w:szCs w:val="22"/>
        </w:rPr>
        <w:t>7</w:t>
      </w:r>
      <w:r w:rsidR="00CE041F" w:rsidRPr="001F41F9">
        <w:rPr>
          <w:rStyle w:val="Accentuation"/>
          <w:i w:val="0"/>
          <w:iCs w:val="0"/>
          <w:sz w:val="22"/>
          <w:szCs w:val="22"/>
        </w:rPr>
        <w:t>,</w:t>
      </w:r>
      <w:r w:rsidRPr="001F41F9">
        <w:rPr>
          <w:rStyle w:val="Accentuation"/>
          <w:i w:val="0"/>
          <w:iCs w:val="0"/>
          <w:sz w:val="22"/>
          <w:szCs w:val="22"/>
        </w:rPr>
        <w:t xml:space="preserve"> ouvert</w:t>
      </w:r>
      <w:r w:rsidR="00F53C9E" w:rsidRPr="001F41F9">
        <w:rPr>
          <w:rStyle w:val="Accentuation"/>
          <w:i w:val="0"/>
          <w:iCs w:val="0"/>
          <w:sz w:val="22"/>
          <w:szCs w:val="22"/>
        </w:rPr>
        <w:t>es</w:t>
      </w:r>
      <w:r w:rsidRPr="001F41F9">
        <w:rPr>
          <w:rStyle w:val="Accentuation"/>
          <w:i w:val="0"/>
          <w:iCs w:val="0"/>
          <w:sz w:val="22"/>
          <w:szCs w:val="22"/>
        </w:rPr>
        <w:t xml:space="preserve"> aux licenciés U16 ; U17 et U18</w:t>
      </w:r>
      <w:r w:rsidR="00CE041F" w:rsidRPr="001F41F9">
        <w:rPr>
          <w:rStyle w:val="Accentuation"/>
          <w:i w:val="0"/>
          <w:iCs w:val="0"/>
          <w:sz w:val="22"/>
          <w:szCs w:val="22"/>
        </w:rPr>
        <w:t>.</w:t>
      </w:r>
    </w:p>
    <w:p w14:paraId="405F07C6" w14:textId="77777777" w:rsidR="00285614" w:rsidRDefault="00285614" w:rsidP="006412D2">
      <w:pPr>
        <w:pStyle w:val="NormalWeb"/>
        <w:spacing w:after="120"/>
        <w:jc w:val="both"/>
        <w:rPr>
          <w:rStyle w:val="Accentuation"/>
          <w:i w:val="0"/>
          <w:iCs w:val="0"/>
          <w:sz w:val="22"/>
          <w:szCs w:val="22"/>
        </w:rPr>
      </w:pPr>
      <w:r>
        <w:rPr>
          <w:rStyle w:val="Accentuation"/>
          <w:i w:val="0"/>
          <w:iCs w:val="0"/>
          <w:sz w:val="22"/>
          <w:szCs w:val="22"/>
        </w:rPr>
        <w:t>A</w:t>
      </w:r>
      <w:r w:rsidR="00735617" w:rsidRPr="001F41F9">
        <w:rPr>
          <w:rStyle w:val="Accentuation"/>
          <w:i w:val="0"/>
          <w:iCs w:val="0"/>
          <w:sz w:val="22"/>
          <w:szCs w:val="22"/>
        </w:rPr>
        <w:t xml:space="preserve"> l’aide du bulletin d’engagement ci-joint les clubs </w:t>
      </w:r>
      <w:r>
        <w:rPr>
          <w:rStyle w:val="Accentuation"/>
          <w:i w:val="0"/>
          <w:iCs w:val="0"/>
          <w:sz w:val="22"/>
          <w:szCs w:val="22"/>
        </w:rPr>
        <w:t>peuvent</w:t>
      </w:r>
      <w:r w:rsidR="00735617" w:rsidRPr="001F41F9">
        <w:rPr>
          <w:rStyle w:val="Accentuation"/>
          <w:i w:val="0"/>
          <w:iCs w:val="0"/>
          <w:sz w:val="22"/>
          <w:szCs w:val="22"/>
        </w:rPr>
        <w:t xml:space="preserve"> engager</w:t>
      </w:r>
      <w:r>
        <w:rPr>
          <w:rStyle w:val="Accentuation"/>
          <w:i w:val="0"/>
          <w:iCs w:val="0"/>
          <w:sz w:val="22"/>
          <w:szCs w:val="22"/>
        </w:rPr>
        <w:t xml:space="preserve"> </w:t>
      </w:r>
      <w:r w:rsidR="00735617" w:rsidRPr="001F41F9">
        <w:rPr>
          <w:rStyle w:val="Accentuation"/>
          <w:i w:val="0"/>
          <w:iCs w:val="0"/>
          <w:sz w:val="22"/>
          <w:szCs w:val="22"/>
        </w:rPr>
        <w:t>une ou plusieurs équipes pour participer aux différentes compétitions ci-dessous</w:t>
      </w:r>
      <w:r>
        <w:rPr>
          <w:rStyle w:val="Accentuation"/>
          <w:i w:val="0"/>
          <w:iCs w:val="0"/>
          <w:sz w:val="22"/>
          <w:szCs w:val="22"/>
        </w:rPr>
        <w:t xml:space="preserve">. </w:t>
      </w:r>
    </w:p>
    <w:p w14:paraId="5AED3E4F" w14:textId="609C6398" w:rsidR="006256C0" w:rsidRPr="006256C0" w:rsidRDefault="00285614" w:rsidP="006256C0">
      <w:pPr>
        <w:pStyle w:val="NormalWeb"/>
        <w:jc w:val="both"/>
        <w:rPr>
          <w:rStyle w:val="Accentuation"/>
          <w:b/>
          <w:i w:val="0"/>
          <w:iCs w:val="0"/>
          <w:sz w:val="28"/>
          <w:szCs w:val="28"/>
        </w:rPr>
      </w:pPr>
      <w:r w:rsidRPr="00FF1A3D">
        <w:rPr>
          <w:rStyle w:val="Accentuation"/>
          <w:b/>
          <w:bCs/>
          <w:i w:val="0"/>
          <w:iCs w:val="0"/>
          <w:sz w:val="22"/>
          <w:szCs w:val="22"/>
          <w:highlight w:val="yellow"/>
        </w:rPr>
        <w:t>La date limite d’engagement pour le championnat Fédéral U17</w:t>
      </w:r>
      <w:r>
        <w:rPr>
          <w:rStyle w:val="Accentuation"/>
          <w:i w:val="0"/>
          <w:iCs w:val="0"/>
          <w:sz w:val="22"/>
          <w:szCs w:val="22"/>
        </w:rPr>
        <w:t xml:space="preserve"> est fixée au </w:t>
      </w:r>
      <w:r>
        <w:rPr>
          <w:rStyle w:val="Accentuation"/>
          <w:b/>
          <w:i w:val="0"/>
          <w:iCs w:val="0"/>
          <w:sz w:val="28"/>
          <w:szCs w:val="28"/>
        </w:rPr>
        <w:t>02</w:t>
      </w:r>
      <w:r w:rsidRPr="006A2736">
        <w:rPr>
          <w:rStyle w:val="Accentuation"/>
          <w:b/>
          <w:i w:val="0"/>
          <w:iCs w:val="0"/>
          <w:sz w:val="28"/>
          <w:szCs w:val="28"/>
        </w:rPr>
        <w:t>/0</w:t>
      </w:r>
      <w:r>
        <w:rPr>
          <w:rStyle w:val="Accentuation"/>
          <w:b/>
          <w:i w:val="0"/>
          <w:iCs w:val="0"/>
          <w:sz w:val="28"/>
          <w:szCs w:val="28"/>
        </w:rPr>
        <w:t>3</w:t>
      </w:r>
      <w:r w:rsidRPr="006A2736">
        <w:rPr>
          <w:rStyle w:val="Accentuation"/>
          <w:b/>
          <w:i w:val="0"/>
          <w:iCs w:val="0"/>
          <w:sz w:val="28"/>
          <w:szCs w:val="28"/>
        </w:rPr>
        <w:t>/202</w:t>
      </w:r>
      <w:r>
        <w:rPr>
          <w:rStyle w:val="Accentuation"/>
          <w:b/>
          <w:i w:val="0"/>
          <w:iCs w:val="0"/>
          <w:sz w:val="28"/>
          <w:szCs w:val="28"/>
        </w:rPr>
        <w:t>5 à 23h59</w:t>
      </w:r>
      <w:r>
        <w:rPr>
          <w:rStyle w:val="Accentuation"/>
          <w:b/>
          <w:i w:val="0"/>
          <w:iCs w:val="0"/>
          <w:sz w:val="28"/>
          <w:szCs w:val="28"/>
        </w:rPr>
        <w:t>.</w:t>
      </w:r>
    </w:p>
    <w:p w14:paraId="35595DE9" w14:textId="4DE6C0CE" w:rsidR="00735617" w:rsidRPr="006A2736" w:rsidRDefault="00735617" w:rsidP="006256C0">
      <w:pPr>
        <w:pStyle w:val="NormalWeb"/>
        <w:numPr>
          <w:ilvl w:val="0"/>
          <w:numId w:val="6"/>
        </w:numPr>
        <w:jc w:val="both"/>
        <w:rPr>
          <w:rStyle w:val="Accentuation"/>
          <w:b/>
          <w:bCs/>
          <w:i w:val="0"/>
          <w:iCs w:val="0"/>
          <w:sz w:val="20"/>
          <w:szCs w:val="20"/>
        </w:rPr>
      </w:pPr>
      <w:r w:rsidRPr="006A2736">
        <w:rPr>
          <w:rStyle w:val="Accentuation"/>
          <w:b/>
          <w:bCs/>
          <w:i w:val="0"/>
          <w:iCs w:val="0"/>
          <w:sz w:val="20"/>
          <w:szCs w:val="20"/>
        </w:rPr>
        <w:t>LE CHAMPIONNAT FEDERAL U1</w:t>
      </w:r>
      <w:r w:rsidR="006412D2">
        <w:rPr>
          <w:rStyle w:val="Accentuation"/>
          <w:b/>
          <w:bCs/>
          <w:i w:val="0"/>
          <w:iCs w:val="0"/>
          <w:sz w:val="20"/>
          <w:szCs w:val="20"/>
        </w:rPr>
        <w:t>7 (U16, U17 et U18)</w:t>
      </w:r>
    </w:p>
    <w:p w14:paraId="40748A7D" w14:textId="49879104" w:rsidR="00CE041F" w:rsidRPr="006A2736" w:rsidRDefault="00CE041F" w:rsidP="006256C0">
      <w:pPr>
        <w:pStyle w:val="NormalWeb"/>
        <w:spacing w:after="120"/>
        <w:ind w:firstLine="360"/>
        <w:jc w:val="both"/>
        <w:rPr>
          <w:i/>
          <w:iCs/>
          <w:color w:val="FF0000"/>
          <w:sz w:val="20"/>
          <w:szCs w:val="20"/>
        </w:rPr>
      </w:pPr>
      <w:r w:rsidRPr="006A2736">
        <w:rPr>
          <w:rStyle w:val="Accentuation"/>
          <w:i w:val="0"/>
          <w:iCs w:val="0"/>
          <w:sz w:val="20"/>
          <w:szCs w:val="20"/>
        </w:rPr>
        <w:t xml:space="preserve">La compétition regroupera </w:t>
      </w:r>
      <w:r w:rsidR="00E076B2" w:rsidRPr="006A2736">
        <w:rPr>
          <w:rStyle w:val="Accentuation"/>
          <w:b/>
          <w:bCs/>
          <w:i w:val="0"/>
          <w:iCs w:val="0"/>
          <w:sz w:val="20"/>
          <w:szCs w:val="20"/>
        </w:rPr>
        <w:t>8</w:t>
      </w:r>
      <w:r w:rsidRPr="006A2736">
        <w:rPr>
          <w:rStyle w:val="Accentuation"/>
          <w:b/>
          <w:bCs/>
          <w:i w:val="0"/>
          <w:iCs w:val="0"/>
          <w:sz w:val="20"/>
          <w:szCs w:val="20"/>
        </w:rPr>
        <w:t xml:space="preserve"> clubs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 retenus</w:t>
      </w:r>
      <w:r w:rsidRPr="006A2736">
        <w:rPr>
          <w:rStyle w:val="Accentuation"/>
          <w:i w:val="0"/>
          <w:iCs w:val="0"/>
          <w:sz w:val="20"/>
          <w:szCs w:val="20"/>
        </w:rPr>
        <w:t xml:space="preserve"> sur candidature et déterminés en fonction 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de </w:t>
      </w:r>
      <w:r w:rsidR="001975EA" w:rsidRPr="006A2736">
        <w:rPr>
          <w:rStyle w:val="Accentuation"/>
          <w:b/>
          <w:bCs/>
          <w:i w:val="0"/>
          <w:iCs w:val="0"/>
          <w:sz w:val="20"/>
          <w:szCs w:val="20"/>
        </w:rPr>
        <w:t>critères</w:t>
      </w:r>
      <w:r w:rsidR="001975EA" w:rsidRPr="006A2736">
        <w:rPr>
          <w:rStyle w:val="Accentuation"/>
          <w:i w:val="0"/>
          <w:iCs w:val="0"/>
          <w:sz w:val="20"/>
          <w:szCs w:val="20"/>
        </w:rPr>
        <w:t>. Il</w:t>
      </w:r>
      <w:r w:rsidR="00A3244A" w:rsidRPr="006A2736">
        <w:rPr>
          <w:rStyle w:val="Accentuation"/>
          <w:i w:val="0"/>
          <w:iCs w:val="0"/>
          <w:sz w:val="20"/>
          <w:szCs w:val="20"/>
        </w:rPr>
        <w:t xml:space="preserve"> se déroulera 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sur le </w:t>
      </w:r>
      <w:r w:rsidR="001975EA" w:rsidRPr="006A2736">
        <w:rPr>
          <w:rStyle w:val="Accentuation"/>
          <w:b/>
          <w:bCs/>
          <w:i w:val="0"/>
          <w:iCs w:val="0"/>
          <w:sz w:val="20"/>
          <w:szCs w:val="20"/>
        </w:rPr>
        <w:t>Grand Nouméa</w:t>
      </w:r>
      <w:r w:rsidR="006A2736" w:rsidRPr="006A2736">
        <w:rPr>
          <w:rStyle w:val="Accentuation"/>
          <w:i w:val="0"/>
          <w:iCs w:val="0"/>
          <w:sz w:val="20"/>
          <w:szCs w:val="20"/>
        </w:rPr>
        <w:t> donc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 les</w:t>
      </w:r>
      <w:r w:rsidR="009764AE" w:rsidRPr="006A2736">
        <w:rPr>
          <w:rStyle w:val="Accentuation"/>
          <w:i w:val="0"/>
          <w:iCs w:val="0"/>
          <w:sz w:val="20"/>
          <w:szCs w:val="20"/>
        </w:rPr>
        <w:t xml:space="preserve"> club</w:t>
      </w:r>
      <w:r w:rsidR="001975EA" w:rsidRPr="006A2736">
        <w:rPr>
          <w:rStyle w:val="Accentuation"/>
          <w:i w:val="0"/>
          <w:iCs w:val="0"/>
          <w:sz w:val="20"/>
          <w:szCs w:val="20"/>
        </w:rPr>
        <w:t>s</w:t>
      </w:r>
      <w:r w:rsidR="0055643D" w:rsidRPr="006A2736">
        <w:rPr>
          <w:rStyle w:val="Accentuation"/>
          <w:i w:val="0"/>
          <w:iCs w:val="0"/>
          <w:sz w:val="20"/>
          <w:szCs w:val="20"/>
        </w:rPr>
        <w:t xml:space="preserve"> devro</w:t>
      </w:r>
      <w:r w:rsidR="00A3244A" w:rsidRPr="006A2736">
        <w:rPr>
          <w:rStyle w:val="Accentuation"/>
          <w:i w:val="0"/>
          <w:iCs w:val="0"/>
          <w:sz w:val="20"/>
          <w:szCs w:val="20"/>
        </w:rPr>
        <w:t>n</w:t>
      </w:r>
      <w:r w:rsidR="0055643D" w:rsidRPr="006A2736">
        <w:rPr>
          <w:rStyle w:val="Accentuation"/>
          <w:i w:val="0"/>
          <w:iCs w:val="0"/>
          <w:sz w:val="20"/>
          <w:szCs w:val="20"/>
        </w:rPr>
        <w:t xml:space="preserve">t </w:t>
      </w:r>
      <w:r w:rsidR="0055643D" w:rsidRPr="006A2736">
        <w:rPr>
          <w:rStyle w:val="Accentuation"/>
          <w:i w:val="0"/>
          <w:iCs w:val="0"/>
          <w:sz w:val="20"/>
          <w:szCs w:val="20"/>
          <w:u w:val="single"/>
        </w:rPr>
        <w:t>lors de leur</w:t>
      </w:r>
      <w:r w:rsidR="009764AE" w:rsidRPr="006A2736">
        <w:rPr>
          <w:rStyle w:val="Accentuation"/>
          <w:i w:val="0"/>
          <w:iCs w:val="0"/>
          <w:sz w:val="20"/>
          <w:szCs w:val="20"/>
          <w:u w:val="single"/>
        </w:rPr>
        <w:t xml:space="preserve"> engagement</w:t>
      </w:r>
      <w:r w:rsidR="009764AE" w:rsidRPr="006A2736">
        <w:rPr>
          <w:rStyle w:val="Accentuation"/>
          <w:i w:val="0"/>
          <w:iCs w:val="0"/>
          <w:sz w:val="20"/>
          <w:szCs w:val="20"/>
        </w:rPr>
        <w:t xml:space="preserve"> proposer </w:t>
      </w:r>
      <w:r w:rsidR="009764AE" w:rsidRPr="006A2736">
        <w:rPr>
          <w:rStyle w:val="Accentuation"/>
          <w:b/>
          <w:bCs/>
          <w:i w:val="0"/>
          <w:iCs w:val="0"/>
          <w:sz w:val="20"/>
          <w:szCs w:val="20"/>
        </w:rPr>
        <w:t>un créneau de terrain</w:t>
      </w:r>
      <w:r w:rsidR="009764AE" w:rsidRPr="006A2736">
        <w:rPr>
          <w:rStyle w:val="Accentuation"/>
          <w:i w:val="0"/>
          <w:iCs w:val="0"/>
          <w:sz w:val="20"/>
          <w:szCs w:val="20"/>
        </w:rPr>
        <w:t xml:space="preserve"> </w:t>
      </w:r>
      <w:r w:rsidR="001975EA" w:rsidRPr="006A2736">
        <w:rPr>
          <w:rStyle w:val="Accentuation"/>
          <w:i w:val="0"/>
          <w:iCs w:val="0"/>
          <w:sz w:val="20"/>
          <w:szCs w:val="20"/>
        </w:rPr>
        <w:t>permettant le déroulement de leurs</w:t>
      </w:r>
      <w:r w:rsidR="009764AE" w:rsidRPr="006A2736">
        <w:rPr>
          <w:rStyle w:val="Accentuation"/>
          <w:i w:val="0"/>
          <w:iCs w:val="0"/>
          <w:sz w:val="20"/>
          <w:szCs w:val="20"/>
        </w:rPr>
        <w:t xml:space="preserve"> matchs à domicile sur cette zone géographique.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 </w:t>
      </w:r>
      <w:r w:rsidR="00E91B03" w:rsidRPr="006A2736">
        <w:rPr>
          <w:rStyle w:val="Accentuation"/>
          <w:i w:val="0"/>
          <w:iCs w:val="0"/>
          <w:sz w:val="20"/>
          <w:szCs w:val="20"/>
        </w:rPr>
        <w:t>Ils devront en outre désigner</w:t>
      </w:r>
      <w:r w:rsidR="001975EA" w:rsidRPr="006A2736">
        <w:rPr>
          <w:rStyle w:val="Accentuation"/>
          <w:i w:val="0"/>
          <w:iCs w:val="0"/>
          <w:sz w:val="20"/>
          <w:szCs w:val="20"/>
        </w:rPr>
        <w:t xml:space="preserve"> aussi un arbitre assistant attaché à cette équipe.</w:t>
      </w:r>
      <w:r w:rsidR="00285614">
        <w:rPr>
          <w:rStyle w:val="Accentuation"/>
          <w:i w:val="0"/>
          <w:iCs w:val="0"/>
          <w:sz w:val="20"/>
          <w:szCs w:val="20"/>
        </w:rPr>
        <w:t xml:space="preserve"> 1 équipe maximum par club.</w:t>
      </w:r>
    </w:p>
    <w:p w14:paraId="3E4FA39B" w14:textId="557532D8" w:rsidR="002F06B0" w:rsidRDefault="00BA0D7B" w:rsidP="00830401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Cette année, à la suite des difficultés de la saison 2024, l</w:t>
      </w:r>
      <w:r w:rsidR="00E076B2">
        <w:rPr>
          <w:sz w:val="20"/>
          <w:szCs w:val="20"/>
        </w:rPr>
        <w:t>a Commission</w:t>
      </w:r>
      <w:r w:rsidR="006412D2">
        <w:rPr>
          <w:sz w:val="20"/>
          <w:szCs w:val="20"/>
        </w:rPr>
        <w:t xml:space="preserve"> des Jeunes</w:t>
      </w:r>
      <w:r w:rsidR="00E076B2">
        <w:rPr>
          <w:sz w:val="20"/>
          <w:szCs w:val="20"/>
        </w:rPr>
        <w:t xml:space="preserve"> et le Département Technique</w:t>
      </w:r>
      <w:r w:rsidR="002F06B0">
        <w:rPr>
          <w:sz w:val="20"/>
          <w:szCs w:val="20"/>
        </w:rPr>
        <w:t xml:space="preserve"> retiennent </w:t>
      </w:r>
      <w:r w:rsidR="00DB1856">
        <w:rPr>
          <w:sz w:val="20"/>
          <w:szCs w:val="20"/>
        </w:rPr>
        <w:t>6</w:t>
      </w:r>
      <w:r w:rsidR="00CE041F">
        <w:rPr>
          <w:sz w:val="20"/>
          <w:szCs w:val="20"/>
        </w:rPr>
        <w:t xml:space="preserve"> </w:t>
      </w:r>
      <w:r w:rsidR="00E076B2">
        <w:rPr>
          <w:sz w:val="20"/>
          <w:szCs w:val="20"/>
        </w:rPr>
        <w:t xml:space="preserve">familles de </w:t>
      </w:r>
      <w:r w:rsidR="00CE041F">
        <w:rPr>
          <w:sz w:val="20"/>
          <w:szCs w:val="20"/>
        </w:rPr>
        <w:t>critères :</w:t>
      </w:r>
    </w:p>
    <w:tbl>
      <w:tblPr>
        <w:tblStyle w:val="Tableausimple1"/>
        <w:tblW w:w="10201" w:type="dxa"/>
        <w:tblLook w:val="04A0" w:firstRow="1" w:lastRow="0" w:firstColumn="1" w:lastColumn="0" w:noHBand="0" w:noVBand="1"/>
      </w:tblPr>
      <w:tblGrid>
        <w:gridCol w:w="439"/>
        <w:gridCol w:w="4376"/>
        <w:gridCol w:w="1134"/>
        <w:gridCol w:w="1134"/>
        <w:gridCol w:w="1134"/>
        <w:gridCol w:w="992"/>
        <w:gridCol w:w="992"/>
      </w:tblGrid>
      <w:tr w:rsidR="00BF0467" w14:paraId="4AC36F9B" w14:textId="77777777" w:rsidTr="00625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101B3FF6" w14:textId="71D5081E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14:paraId="02AE90D0" w14:textId="3B39E1E6" w:rsidR="00BF0467" w:rsidRPr="00BF0467" w:rsidRDefault="00BF0467" w:rsidP="00BF04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BA0D7B">
              <w:rPr>
                <w:sz w:val="20"/>
                <w:szCs w:val="20"/>
              </w:rPr>
              <w:t xml:space="preserve">Terrain </w:t>
            </w:r>
            <w:r w:rsidR="006C1E40" w:rsidRPr="00BA0D7B">
              <w:rPr>
                <w:sz w:val="20"/>
                <w:szCs w:val="20"/>
              </w:rPr>
              <w:t>à</w:t>
            </w:r>
            <w:r w:rsidRPr="00BA0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 </w:t>
            </w:r>
            <w:r w:rsidRPr="00BA0D7B">
              <w:rPr>
                <w:sz w:val="20"/>
                <w:szCs w:val="20"/>
              </w:rPr>
              <w:t>Grand Nouméa</w:t>
            </w:r>
            <w:r>
              <w:rPr>
                <w:sz w:val="20"/>
                <w:szCs w:val="20"/>
              </w:rPr>
              <w:t> »</w:t>
            </w:r>
          </w:p>
        </w:tc>
        <w:tc>
          <w:tcPr>
            <w:tcW w:w="2268" w:type="dxa"/>
            <w:gridSpan w:val="2"/>
            <w:vAlign w:val="center"/>
          </w:tcPr>
          <w:p w14:paraId="1A1746EC" w14:textId="5D864269" w:rsidR="00BF0467" w:rsidRPr="00BF0467" w:rsidRDefault="00BF0467" w:rsidP="00BF04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BF0467">
              <w:rPr>
                <w:b w:val="0"/>
                <w:bCs w:val="0"/>
                <w:sz w:val="18"/>
                <w:szCs w:val="18"/>
              </w:rPr>
              <w:t>NON</w:t>
            </w:r>
          </w:p>
        </w:tc>
        <w:tc>
          <w:tcPr>
            <w:tcW w:w="1134" w:type="dxa"/>
            <w:vAlign w:val="center"/>
          </w:tcPr>
          <w:p w14:paraId="0A0882D0" w14:textId="1619FB70" w:rsidR="00BF0467" w:rsidRPr="00BF0467" w:rsidRDefault="00BF0467" w:rsidP="00BF04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A2632D" w14:textId="4EC2E7EE" w:rsidR="00BF0467" w:rsidRPr="00BF0467" w:rsidRDefault="00BF0467" w:rsidP="00BF04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BF0467">
              <w:rPr>
                <w:b w:val="0"/>
                <w:bCs w:val="0"/>
                <w:sz w:val="18"/>
                <w:szCs w:val="18"/>
              </w:rPr>
              <w:t>OUI</w:t>
            </w:r>
          </w:p>
        </w:tc>
      </w:tr>
      <w:tr w:rsidR="00BF0467" w14:paraId="6B0EA6B5" w14:textId="77777777" w:rsidTr="00625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469D5C9F" w14:textId="11480E00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673B3288" w14:textId="7640CD1F" w:rsidR="00BF0467" w:rsidRPr="00F83FF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Dossier recevable ?</w:t>
            </w:r>
          </w:p>
        </w:tc>
        <w:tc>
          <w:tcPr>
            <w:tcW w:w="2268" w:type="dxa"/>
            <w:gridSpan w:val="2"/>
            <w:vAlign w:val="center"/>
          </w:tcPr>
          <w:p w14:paraId="2A47EA02" w14:textId="7DF626CB" w:rsidR="00BF0467" w:rsidRPr="00F83FF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3FF8">
              <w:rPr>
                <w:b/>
                <w:bCs/>
                <w:color w:val="FF0000"/>
                <w:sz w:val="18"/>
                <w:szCs w:val="18"/>
              </w:rPr>
              <w:t>NON</w:t>
            </w:r>
          </w:p>
        </w:tc>
        <w:tc>
          <w:tcPr>
            <w:tcW w:w="1134" w:type="dxa"/>
            <w:vAlign w:val="center"/>
          </w:tcPr>
          <w:p w14:paraId="23E91FCD" w14:textId="7DCFB3A0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D90E83" w14:textId="76794149" w:rsidR="00BF0467" w:rsidRPr="00F83FF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3FF8">
              <w:rPr>
                <w:b/>
                <w:bCs/>
                <w:color w:val="00B050"/>
                <w:sz w:val="18"/>
                <w:szCs w:val="18"/>
              </w:rPr>
              <w:t>OUI</w:t>
            </w:r>
          </w:p>
        </w:tc>
      </w:tr>
      <w:tr w:rsidR="00BF0467" w14:paraId="4ED9917B" w14:textId="77777777" w:rsidTr="00BF0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129C8E12" w14:textId="14A54922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14:paraId="76A4D8A8" w14:textId="12ABC8C8" w:rsidR="00BF0467" w:rsidRPr="00BF0467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F0467">
              <w:rPr>
                <w:b/>
                <w:bCs/>
                <w:sz w:val="18"/>
                <w:szCs w:val="18"/>
              </w:rPr>
              <w:t>Arbitre Assistant désigné</w:t>
            </w:r>
            <w:r w:rsidR="00A9020F">
              <w:rPr>
                <w:b/>
                <w:bCs/>
                <w:sz w:val="18"/>
                <w:szCs w:val="18"/>
              </w:rPr>
              <w:t xml:space="preserve"> et</w:t>
            </w:r>
            <w:r w:rsidRPr="00BF0467">
              <w:rPr>
                <w:b/>
                <w:bCs/>
                <w:sz w:val="18"/>
                <w:szCs w:val="18"/>
              </w:rPr>
              <w:t xml:space="preserve"> licencié</w:t>
            </w:r>
          </w:p>
        </w:tc>
        <w:tc>
          <w:tcPr>
            <w:tcW w:w="2268" w:type="dxa"/>
            <w:gridSpan w:val="2"/>
            <w:vAlign w:val="center"/>
          </w:tcPr>
          <w:p w14:paraId="5DE3E79B" w14:textId="650E74D4" w:rsidR="00BF0467" w:rsidRPr="00F40068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  <w:tc>
          <w:tcPr>
            <w:tcW w:w="1134" w:type="dxa"/>
            <w:vAlign w:val="center"/>
          </w:tcPr>
          <w:p w14:paraId="0B3902E6" w14:textId="77777777" w:rsidR="00BF0467" w:rsidRPr="00F40068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0E9E3E" w14:textId="61535984" w:rsidR="00BF0467" w:rsidRPr="00F40068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</w:tr>
      <w:tr w:rsidR="00BF0467" w14:paraId="499DAF1A" w14:textId="77777777" w:rsidTr="00BF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5125B479" w14:textId="07879B60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237C9815" w14:textId="2EF27300" w:rsidR="00BF0467" w:rsidRPr="00F83FF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Dossier recevable ?</w:t>
            </w:r>
          </w:p>
        </w:tc>
        <w:tc>
          <w:tcPr>
            <w:tcW w:w="2268" w:type="dxa"/>
            <w:gridSpan w:val="2"/>
            <w:vAlign w:val="center"/>
          </w:tcPr>
          <w:p w14:paraId="662A326B" w14:textId="2D189799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3FF8">
              <w:rPr>
                <w:b/>
                <w:bCs/>
                <w:color w:val="FF0000"/>
                <w:sz w:val="18"/>
                <w:szCs w:val="18"/>
              </w:rPr>
              <w:t>NON</w:t>
            </w:r>
          </w:p>
        </w:tc>
        <w:tc>
          <w:tcPr>
            <w:tcW w:w="1134" w:type="dxa"/>
            <w:vAlign w:val="center"/>
          </w:tcPr>
          <w:p w14:paraId="7BDD25E2" w14:textId="77777777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FAE130" w14:textId="545C60F6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3FF8">
              <w:rPr>
                <w:b/>
                <w:bCs/>
                <w:color w:val="00B050"/>
                <w:sz w:val="18"/>
                <w:szCs w:val="18"/>
              </w:rPr>
              <w:t>OUI</w:t>
            </w:r>
          </w:p>
        </w:tc>
      </w:tr>
      <w:tr w:rsidR="00BF0467" w14:paraId="539A1013" w14:textId="77777777" w:rsidTr="00BF0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6DD88EE2" w14:textId="23F355ED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14:paraId="0F38BAC3" w14:textId="26329753" w:rsidR="00BF0467" w:rsidRPr="00FF1A3D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F1A3D">
              <w:rPr>
                <w:b/>
                <w:bCs/>
                <w:sz w:val="20"/>
                <w:szCs w:val="20"/>
              </w:rPr>
              <w:t>Nombre de licenciés de U16 à U18 à la date de fin des engagements (COMET)</w:t>
            </w:r>
          </w:p>
        </w:tc>
        <w:tc>
          <w:tcPr>
            <w:tcW w:w="1134" w:type="dxa"/>
            <w:vAlign w:val="center"/>
          </w:tcPr>
          <w:p w14:paraId="27EE768E" w14:textId="7DE32CC0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 xml:space="preserve">0 –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246E235" w14:textId="2FFA1EA2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460BCB4" w14:textId="1F9740D5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14:paraId="3E34411A" w14:textId="77C8BE1C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75B248A6" w14:textId="35887700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35 et +</w:t>
            </w:r>
          </w:p>
        </w:tc>
      </w:tr>
      <w:tr w:rsidR="00BF0467" w14:paraId="306BBEF3" w14:textId="77777777" w:rsidTr="00BF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705B6EF6" w14:textId="250040AA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4F3D23D2" w14:textId="7DE41A33" w:rsidR="00BF0467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Points</w:t>
            </w:r>
          </w:p>
        </w:tc>
        <w:tc>
          <w:tcPr>
            <w:tcW w:w="1134" w:type="dxa"/>
            <w:vAlign w:val="center"/>
          </w:tcPr>
          <w:p w14:paraId="7EBCC362" w14:textId="0E618BCE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AA075B9" w14:textId="747E5AAD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8D0FC11" w14:textId="24862D5E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630B6B" w14:textId="3E593983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B9C948" w14:textId="210FABFD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0068">
              <w:rPr>
                <w:sz w:val="18"/>
                <w:szCs w:val="18"/>
              </w:rPr>
              <w:t>0</w:t>
            </w:r>
          </w:p>
        </w:tc>
      </w:tr>
      <w:tr w:rsidR="00BF0467" w14:paraId="4B412279" w14:textId="77777777" w:rsidTr="00BF0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440A5422" w14:textId="49341DE5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4</w:t>
            </w:r>
          </w:p>
        </w:tc>
        <w:tc>
          <w:tcPr>
            <w:tcW w:w="4376" w:type="dxa"/>
          </w:tcPr>
          <w:p w14:paraId="032F5FAF" w14:textId="254EBA9E" w:rsidR="00BF0467" w:rsidRPr="006256C0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256C0">
              <w:rPr>
                <w:b/>
                <w:bCs/>
                <w:sz w:val="20"/>
                <w:szCs w:val="20"/>
              </w:rPr>
              <w:t xml:space="preserve">Niveau d’encadrement </w:t>
            </w:r>
            <w:r w:rsidR="006256C0" w:rsidRPr="006256C0">
              <w:rPr>
                <w:b/>
                <w:bCs/>
                <w:sz w:val="20"/>
                <w:szCs w:val="20"/>
              </w:rPr>
              <w:t xml:space="preserve">éducateur des U17 </w:t>
            </w:r>
            <w:r w:rsidRPr="006256C0">
              <w:rPr>
                <w:b/>
                <w:bCs/>
                <w:sz w:val="20"/>
                <w:szCs w:val="20"/>
              </w:rPr>
              <w:t>(diplôme de l’éducateur)</w:t>
            </w:r>
          </w:p>
        </w:tc>
        <w:tc>
          <w:tcPr>
            <w:tcW w:w="1134" w:type="dxa"/>
            <w:vAlign w:val="center"/>
          </w:tcPr>
          <w:p w14:paraId="5B4A6E19" w14:textId="46688B77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256C0">
              <w:rPr>
                <w:b/>
                <w:bCs/>
                <w:sz w:val="16"/>
                <w:szCs w:val="16"/>
              </w:rPr>
              <w:t>Aucun</w:t>
            </w:r>
            <w:r w:rsidR="006256C0" w:rsidRPr="006256C0">
              <w:rPr>
                <w:b/>
                <w:bCs/>
                <w:sz w:val="16"/>
                <w:szCs w:val="16"/>
              </w:rPr>
              <w:t xml:space="preserve"> / autres CFF</w:t>
            </w:r>
          </w:p>
        </w:tc>
        <w:tc>
          <w:tcPr>
            <w:tcW w:w="1134" w:type="dxa"/>
            <w:vAlign w:val="center"/>
          </w:tcPr>
          <w:p w14:paraId="516E9570" w14:textId="16618C13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Module Senior</w:t>
            </w:r>
          </w:p>
        </w:tc>
        <w:tc>
          <w:tcPr>
            <w:tcW w:w="1134" w:type="dxa"/>
            <w:vAlign w:val="center"/>
          </w:tcPr>
          <w:p w14:paraId="1A67DA28" w14:textId="22B4EA88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Module U18</w:t>
            </w:r>
          </w:p>
        </w:tc>
        <w:tc>
          <w:tcPr>
            <w:tcW w:w="992" w:type="dxa"/>
            <w:vAlign w:val="center"/>
          </w:tcPr>
          <w:p w14:paraId="1D28FCA9" w14:textId="6E84F5E4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CFF3</w:t>
            </w:r>
            <w:r w:rsidR="006256C0">
              <w:rPr>
                <w:b/>
                <w:bCs/>
                <w:sz w:val="18"/>
                <w:szCs w:val="18"/>
              </w:rPr>
              <w:t xml:space="preserve"> certifié</w:t>
            </w:r>
          </w:p>
        </w:tc>
        <w:tc>
          <w:tcPr>
            <w:tcW w:w="992" w:type="dxa"/>
            <w:vAlign w:val="center"/>
          </w:tcPr>
          <w:p w14:paraId="4871A7DA" w14:textId="763419AD" w:rsidR="00BF0467" w:rsidRPr="00BA0D7B" w:rsidRDefault="00BF0467" w:rsidP="00BF0467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BMF ou +</w:t>
            </w:r>
          </w:p>
        </w:tc>
      </w:tr>
      <w:tr w:rsidR="00BF0467" w14:paraId="67BBEBDB" w14:textId="77777777" w:rsidTr="00BF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2E25C240" w14:textId="0266ECE2" w:rsidR="00BF0467" w:rsidRPr="00BF0467" w:rsidRDefault="00BF0467" w:rsidP="00BF046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1A566D28" w14:textId="47CC0964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Points</w:t>
            </w:r>
          </w:p>
        </w:tc>
        <w:tc>
          <w:tcPr>
            <w:tcW w:w="1134" w:type="dxa"/>
            <w:vAlign w:val="center"/>
          </w:tcPr>
          <w:p w14:paraId="7999EAA3" w14:textId="4B76743F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0CB63CE" w14:textId="3804A31A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5C0A197" w14:textId="54278650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3A03E9D5" w14:textId="5FCF6DFE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432E7143" w14:textId="3BE99DF9" w:rsidR="00BF0467" w:rsidRPr="00F40068" w:rsidRDefault="00BF0467" w:rsidP="00BF0467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40</w:t>
            </w:r>
          </w:p>
        </w:tc>
      </w:tr>
      <w:tr w:rsidR="006256C0" w14:paraId="580EB614" w14:textId="77777777" w:rsidTr="00BF0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26C0399D" w14:textId="6F6BA7E4" w:rsidR="006256C0" w:rsidRPr="00BF0467" w:rsidRDefault="006256C0" w:rsidP="006256C0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5</w:t>
            </w:r>
          </w:p>
        </w:tc>
        <w:tc>
          <w:tcPr>
            <w:tcW w:w="4376" w:type="dxa"/>
          </w:tcPr>
          <w:p w14:paraId="09E29782" w14:textId="27C34BCA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F1A3D">
              <w:rPr>
                <w:b/>
                <w:bCs/>
                <w:sz w:val="20"/>
                <w:szCs w:val="20"/>
              </w:rPr>
              <w:t>Nombre de licenciés de U1</w:t>
            </w:r>
            <w:r>
              <w:rPr>
                <w:b/>
                <w:bCs/>
                <w:sz w:val="20"/>
                <w:szCs w:val="20"/>
              </w:rPr>
              <w:t>4 et U15</w:t>
            </w:r>
            <w:r w:rsidRPr="00FF1A3D">
              <w:rPr>
                <w:b/>
                <w:bCs/>
                <w:sz w:val="20"/>
                <w:szCs w:val="20"/>
              </w:rPr>
              <w:t xml:space="preserve"> à la date de fin des engagements (COMET)</w:t>
            </w:r>
          </w:p>
        </w:tc>
        <w:tc>
          <w:tcPr>
            <w:tcW w:w="1134" w:type="dxa"/>
            <w:vAlign w:val="center"/>
          </w:tcPr>
          <w:p w14:paraId="376F0218" w14:textId="6DE8C1FF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 xml:space="preserve">0 –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8B02631" w14:textId="381F2FD2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8B5E69D" w14:textId="318FC250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14:paraId="555CF372" w14:textId="6C8B65AA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69F43128" w14:textId="2C5E6E87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BA0D7B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35 et +</w:t>
            </w:r>
          </w:p>
        </w:tc>
      </w:tr>
      <w:tr w:rsidR="006256C0" w14:paraId="6F2C1136" w14:textId="77777777" w:rsidTr="00BF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2D6F57CF" w14:textId="59036867" w:rsidR="006256C0" w:rsidRPr="00BF0467" w:rsidRDefault="006256C0" w:rsidP="006256C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7504198C" w14:textId="7EA4F059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Points</w:t>
            </w:r>
          </w:p>
        </w:tc>
        <w:tc>
          <w:tcPr>
            <w:tcW w:w="1134" w:type="dxa"/>
            <w:vAlign w:val="center"/>
          </w:tcPr>
          <w:p w14:paraId="238873AC" w14:textId="200A743F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4CA4E4C" w14:textId="2AEBE034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02A9805" w14:textId="77F83E19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16CC90" w14:textId="22789E69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EB27480" w14:textId="2D021E4A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0068">
              <w:rPr>
                <w:sz w:val="18"/>
                <w:szCs w:val="18"/>
              </w:rPr>
              <w:t>0</w:t>
            </w:r>
          </w:p>
        </w:tc>
      </w:tr>
      <w:tr w:rsidR="006256C0" w14:paraId="1F9440F7" w14:textId="77777777" w:rsidTr="00BF0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vAlign w:val="center"/>
          </w:tcPr>
          <w:p w14:paraId="22610A1E" w14:textId="1014BD88" w:rsidR="006256C0" w:rsidRPr="00BF0467" w:rsidRDefault="006256C0" w:rsidP="006256C0">
            <w:pPr>
              <w:pStyle w:val="NormalWeb"/>
              <w:jc w:val="center"/>
              <w:rPr>
                <w:sz w:val="28"/>
                <w:szCs w:val="28"/>
              </w:rPr>
            </w:pPr>
            <w:r w:rsidRPr="00BF0467">
              <w:rPr>
                <w:sz w:val="28"/>
                <w:szCs w:val="28"/>
              </w:rPr>
              <w:t>6</w:t>
            </w:r>
          </w:p>
        </w:tc>
        <w:tc>
          <w:tcPr>
            <w:tcW w:w="4376" w:type="dxa"/>
          </w:tcPr>
          <w:p w14:paraId="10055F99" w14:textId="3BF97674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256C0">
              <w:rPr>
                <w:b/>
                <w:bCs/>
                <w:sz w:val="20"/>
                <w:szCs w:val="20"/>
              </w:rPr>
              <w:t>Niveau d’encadrement éducateur des U1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256C0">
              <w:rPr>
                <w:b/>
                <w:bCs/>
                <w:sz w:val="20"/>
                <w:szCs w:val="20"/>
              </w:rPr>
              <w:t xml:space="preserve"> (diplôme de l’éducateur)</w:t>
            </w:r>
          </w:p>
        </w:tc>
        <w:tc>
          <w:tcPr>
            <w:tcW w:w="1134" w:type="dxa"/>
            <w:vAlign w:val="center"/>
          </w:tcPr>
          <w:p w14:paraId="7FCDF62A" w14:textId="04ACEAE8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256C0">
              <w:rPr>
                <w:b/>
                <w:bCs/>
                <w:sz w:val="16"/>
                <w:szCs w:val="16"/>
              </w:rPr>
              <w:t>Aucun / autres CFF</w:t>
            </w:r>
          </w:p>
        </w:tc>
        <w:tc>
          <w:tcPr>
            <w:tcW w:w="1134" w:type="dxa"/>
            <w:vAlign w:val="center"/>
          </w:tcPr>
          <w:p w14:paraId="1B699E39" w14:textId="70A66402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Module Senior</w:t>
            </w:r>
          </w:p>
        </w:tc>
        <w:tc>
          <w:tcPr>
            <w:tcW w:w="1134" w:type="dxa"/>
            <w:vAlign w:val="center"/>
          </w:tcPr>
          <w:p w14:paraId="3DE7B903" w14:textId="4EDC9B2C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Module U18</w:t>
            </w:r>
          </w:p>
        </w:tc>
        <w:tc>
          <w:tcPr>
            <w:tcW w:w="992" w:type="dxa"/>
            <w:vAlign w:val="center"/>
          </w:tcPr>
          <w:p w14:paraId="7DB18CCA" w14:textId="44703BC3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CFF3</w:t>
            </w:r>
            <w:r>
              <w:rPr>
                <w:b/>
                <w:bCs/>
                <w:sz w:val="18"/>
                <w:szCs w:val="18"/>
              </w:rPr>
              <w:t xml:space="preserve"> certifié</w:t>
            </w:r>
          </w:p>
        </w:tc>
        <w:tc>
          <w:tcPr>
            <w:tcW w:w="992" w:type="dxa"/>
            <w:vAlign w:val="center"/>
          </w:tcPr>
          <w:p w14:paraId="1F732662" w14:textId="5441B659" w:rsidR="006256C0" w:rsidRPr="00BA0D7B" w:rsidRDefault="006256C0" w:rsidP="006256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A0D7B">
              <w:rPr>
                <w:b/>
                <w:bCs/>
                <w:sz w:val="18"/>
                <w:szCs w:val="18"/>
              </w:rPr>
              <w:t>BMF ou +</w:t>
            </w:r>
          </w:p>
        </w:tc>
      </w:tr>
      <w:tr w:rsidR="006256C0" w14:paraId="009818F2" w14:textId="77777777" w:rsidTr="00BF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vAlign w:val="center"/>
          </w:tcPr>
          <w:p w14:paraId="22081B55" w14:textId="2831B0EF" w:rsidR="006256C0" w:rsidRPr="00BF0467" w:rsidRDefault="006256C0" w:rsidP="006256C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14:paraId="2FC22848" w14:textId="4B2B657A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Points</w:t>
            </w:r>
          </w:p>
        </w:tc>
        <w:tc>
          <w:tcPr>
            <w:tcW w:w="1134" w:type="dxa"/>
            <w:vAlign w:val="center"/>
          </w:tcPr>
          <w:p w14:paraId="2C0D4068" w14:textId="7D0EE934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6C95EC" w14:textId="0F80313B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7C044CB" w14:textId="03C27247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361BF338" w14:textId="7829330E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694E6C28" w14:textId="7D97A536" w:rsidR="006256C0" w:rsidRPr="00F40068" w:rsidRDefault="006256C0" w:rsidP="006256C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0068">
              <w:rPr>
                <w:sz w:val="18"/>
                <w:szCs w:val="18"/>
              </w:rPr>
              <w:t>40</w:t>
            </w:r>
          </w:p>
        </w:tc>
      </w:tr>
    </w:tbl>
    <w:p w14:paraId="00A3A17B" w14:textId="77777777" w:rsidR="006A2736" w:rsidRPr="0022762C" w:rsidRDefault="006A2736" w:rsidP="0022762C">
      <w:pPr>
        <w:pStyle w:val="NormalWeb"/>
        <w:spacing w:after="0"/>
        <w:jc w:val="both"/>
        <w:rPr>
          <w:sz w:val="14"/>
          <w:szCs w:val="14"/>
        </w:rPr>
      </w:pPr>
    </w:p>
    <w:p w14:paraId="0E35A472" w14:textId="2BE5D3DF" w:rsidR="00CE041F" w:rsidRPr="00CF3CC1" w:rsidRDefault="00CE041F" w:rsidP="0022762C">
      <w:pPr>
        <w:pStyle w:val="NormalWeb"/>
        <w:spacing w:after="0"/>
        <w:jc w:val="both"/>
        <w:rPr>
          <w:sz w:val="20"/>
          <w:szCs w:val="20"/>
        </w:rPr>
      </w:pPr>
      <w:r w:rsidRPr="00CF3CC1">
        <w:rPr>
          <w:sz w:val="20"/>
          <w:szCs w:val="20"/>
        </w:rPr>
        <w:t xml:space="preserve">En cas d’égalité entre plusieurs clubs, </w:t>
      </w:r>
      <w:r w:rsidR="001975EA" w:rsidRPr="00CF3CC1">
        <w:rPr>
          <w:sz w:val="20"/>
          <w:szCs w:val="20"/>
        </w:rPr>
        <w:t xml:space="preserve">la </w:t>
      </w:r>
      <w:r w:rsidRPr="00CF3CC1">
        <w:rPr>
          <w:sz w:val="20"/>
          <w:szCs w:val="20"/>
        </w:rPr>
        <w:t>priorité sera donnée à celui possédant le plus</w:t>
      </w:r>
      <w:r w:rsidR="001975EA" w:rsidRPr="00CF3CC1">
        <w:rPr>
          <w:sz w:val="20"/>
          <w:szCs w:val="20"/>
        </w:rPr>
        <w:t xml:space="preserve"> d’arbitres officiels et</w:t>
      </w:r>
      <w:r w:rsidRPr="00CF3CC1">
        <w:rPr>
          <w:sz w:val="20"/>
          <w:szCs w:val="20"/>
        </w:rPr>
        <w:t xml:space="preserve"> d’équipes de jeunes e</w:t>
      </w:r>
      <w:r w:rsidR="00087F96" w:rsidRPr="00CF3CC1">
        <w:rPr>
          <w:sz w:val="20"/>
          <w:szCs w:val="20"/>
        </w:rPr>
        <w:t>ngagées pour la saison 202</w:t>
      </w:r>
      <w:r w:rsidR="007D0E3D">
        <w:rPr>
          <w:sz w:val="20"/>
          <w:szCs w:val="20"/>
        </w:rPr>
        <w:t>5</w:t>
      </w:r>
      <w:r w:rsidR="0022762C">
        <w:rPr>
          <w:sz w:val="20"/>
          <w:szCs w:val="20"/>
        </w:rPr>
        <w:t>.</w:t>
      </w:r>
    </w:p>
    <w:p w14:paraId="3AF254CC" w14:textId="6534D694" w:rsidR="00CE041F" w:rsidRPr="00C052B1" w:rsidRDefault="00CE041F" w:rsidP="00CE041F">
      <w:pPr>
        <w:pStyle w:val="NormalWeb"/>
        <w:jc w:val="both"/>
        <w:rPr>
          <w:rStyle w:val="Accentuation"/>
          <w:i w:val="0"/>
          <w:iCs w:val="0"/>
          <w:sz w:val="20"/>
          <w:szCs w:val="20"/>
        </w:rPr>
      </w:pPr>
      <w:r w:rsidRPr="00CF3CC1">
        <w:rPr>
          <w:sz w:val="20"/>
          <w:szCs w:val="20"/>
        </w:rPr>
        <w:t xml:space="preserve">En cas de nouvelles égalité, sera retenu le club possédant le plus </w:t>
      </w:r>
      <w:r w:rsidR="002F06B0" w:rsidRPr="00CF3CC1">
        <w:rPr>
          <w:sz w:val="20"/>
          <w:szCs w:val="20"/>
        </w:rPr>
        <w:t xml:space="preserve">de licenciés jeunes </w:t>
      </w:r>
      <w:r w:rsidR="00E91B03" w:rsidRPr="00CF3CC1">
        <w:rPr>
          <w:sz w:val="20"/>
          <w:szCs w:val="20"/>
        </w:rPr>
        <w:t xml:space="preserve">en </w:t>
      </w:r>
      <w:r w:rsidR="00087F96" w:rsidRPr="00CF3CC1">
        <w:rPr>
          <w:sz w:val="20"/>
          <w:szCs w:val="20"/>
        </w:rPr>
        <w:t>202</w:t>
      </w:r>
      <w:r w:rsidR="007D0E3D">
        <w:rPr>
          <w:sz w:val="20"/>
          <w:szCs w:val="20"/>
        </w:rPr>
        <w:t>5</w:t>
      </w:r>
      <w:r w:rsidR="00E91B03" w:rsidRPr="00CF3CC1">
        <w:rPr>
          <w:sz w:val="20"/>
          <w:szCs w:val="20"/>
        </w:rPr>
        <w:t xml:space="preserve"> </w:t>
      </w:r>
      <w:r w:rsidR="002F06B0" w:rsidRPr="00CF3CC1">
        <w:rPr>
          <w:sz w:val="20"/>
          <w:szCs w:val="20"/>
        </w:rPr>
        <w:t>(de U6 à U18</w:t>
      </w:r>
      <w:r w:rsidRPr="00CF3CC1">
        <w:rPr>
          <w:sz w:val="20"/>
          <w:szCs w:val="20"/>
        </w:rPr>
        <w:t>).</w:t>
      </w:r>
    </w:p>
    <w:p w14:paraId="7DABF677" w14:textId="77777777" w:rsidR="00CE041F" w:rsidRPr="0022762C" w:rsidRDefault="002F06B0" w:rsidP="00CE041F">
      <w:pPr>
        <w:pStyle w:val="NormalWeb"/>
        <w:jc w:val="both"/>
        <w:rPr>
          <w:rStyle w:val="Accentuation"/>
          <w:b/>
          <w:i w:val="0"/>
          <w:iCs w:val="0"/>
          <w:sz w:val="20"/>
          <w:szCs w:val="20"/>
        </w:rPr>
      </w:pPr>
      <w:r w:rsidRPr="0022762C">
        <w:rPr>
          <w:rStyle w:val="Accentuation"/>
          <w:b/>
          <w:i w:val="0"/>
          <w:iCs w:val="0"/>
          <w:sz w:val="20"/>
          <w:szCs w:val="20"/>
        </w:rPr>
        <w:t>Ce Championnat ne donne</w:t>
      </w:r>
      <w:r w:rsidR="00CE041F" w:rsidRPr="0022762C">
        <w:rPr>
          <w:rStyle w:val="Accentuation"/>
          <w:b/>
          <w:i w:val="0"/>
          <w:iCs w:val="0"/>
          <w:sz w:val="20"/>
          <w:szCs w:val="20"/>
        </w:rPr>
        <w:t xml:space="preserve"> aucun droit d’accession, de rétrogradation ou de maintien.</w:t>
      </w:r>
    </w:p>
    <w:p w14:paraId="3135563B" w14:textId="70E1C701" w:rsidR="00087F96" w:rsidRPr="00445869" w:rsidRDefault="00445869" w:rsidP="00356AC3">
      <w:pPr>
        <w:pStyle w:val="NormalWeb"/>
        <w:numPr>
          <w:ilvl w:val="0"/>
          <w:numId w:val="6"/>
        </w:numPr>
        <w:jc w:val="both"/>
        <w:rPr>
          <w:rStyle w:val="Accentuation"/>
          <w:b/>
          <w:i w:val="0"/>
          <w:iCs w:val="0"/>
          <w:sz w:val="20"/>
          <w:szCs w:val="20"/>
        </w:rPr>
      </w:pPr>
      <w:r w:rsidRPr="00445869">
        <w:rPr>
          <w:rStyle w:val="Accentuation"/>
          <w:b/>
          <w:i w:val="0"/>
          <w:iCs w:val="0"/>
          <w:sz w:val="20"/>
          <w:szCs w:val="20"/>
        </w:rPr>
        <w:t>LE</w:t>
      </w:r>
      <w:r w:rsidR="00087F96" w:rsidRPr="00445869">
        <w:rPr>
          <w:rStyle w:val="Accentuation"/>
          <w:b/>
          <w:i w:val="0"/>
          <w:iCs w:val="0"/>
          <w:sz w:val="20"/>
          <w:szCs w:val="20"/>
        </w:rPr>
        <w:t xml:space="preserve"> CHAMPIONNAT TERRITORIAL U18</w:t>
      </w:r>
    </w:p>
    <w:p w14:paraId="6639E4DB" w14:textId="27810A1F" w:rsidR="002E3C87" w:rsidRPr="00445869" w:rsidRDefault="002E3C87" w:rsidP="00356AC3">
      <w:pPr>
        <w:pStyle w:val="NormalWeb"/>
        <w:jc w:val="both"/>
        <w:rPr>
          <w:i/>
          <w:iCs/>
          <w:sz w:val="20"/>
          <w:szCs w:val="20"/>
        </w:rPr>
      </w:pPr>
      <w:r w:rsidRPr="00445869">
        <w:rPr>
          <w:rStyle w:val="Accentuation"/>
          <w:i w:val="0"/>
          <w:iCs w:val="0"/>
          <w:sz w:val="20"/>
          <w:szCs w:val="20"/>
        </w:rPr>
        <w:t>La compétition regroupera toutes les équipes engagées en foot à 11</w:t>
      </w:r>
      <w:r w:rsidR="00356AC3">
        <w:rPr>
          <w:rStyle w:val="Accentuation"/>
          <w:i w:val="0"/>
          <w:iCs w:val="0"/>
          <w:sz w:val="20"/>
          <w:szCs w:val="20"/>
        </w:rPr>
        <w:t xml:space="preserve"> : </w:t>
      </w:r>
      <w:r w:rsidRPr="00445869">
        <w:rPr>
          <w:rStyle w:val="Accentuation"/>
          <w:i w:val="0"/>
          <w:iCs w:val="0"/>
          <w:sz w:val="20"/>
          <w:szCs w:val="20"/>
        </w:rPr>
        <w:t xml:space="preserve">équipes B et </w:t>
      </w:r>
      <w:r w:rsidR="00356AC3">
        <w:rPr>
          <w:rStyle w:val="Accentuation"/>
          <w:i w:val="0"/>
          <w:iCs w:val="0"/>
          <w:sz w:val="20"/>
          <w:szCs w:val="20"/>
        </w:rPr>
        <w:t>équipes</w:t>
      </w:r>
      <w:r w:rsidRPr="00445869">
        <w:rPr>
          <w:rStyle w:val="Accentuation"/>
          <w:i w:val="0"/>
          <w:iCs w:val="0"/>
          <w:sz w:val="20"/>
          <w:szCs w:val="20"/>
        </w:rPr>
        <w:t xml:space="preserve"> non retenu</w:t>
      </w:r>
      <w:r w:rsidR="00356AC3">
        <w:rPr>
          <w:rStyle w:val="Accentuation"/>
          <w:i w:val="0"/>
          <w:iCs w:val="0"/>
          <w:sz w:val="20"/>
          <w:szCs w:val="20"/>
        </w:rPr>
        <w:t>e</w:t>
      </w:r>
      <w:r w:rsidRPr="00445869">
        <w:rPr>
          <w:rStyle w:val="Accentuation"/>
          <w:i w:val="0"/>
          <w:iCs w:val="0"/>
          <w:sz w:val="20"/>
          <w:szCs w:val="20"/>
        </w:rPr>
        <w:t xml:space="preserve">s </w:t>
      </w:r>
      <w:r w:rsidR="00356AC3">
        <w:rPr>
          <w:rStyle w:val="Accentuation"/>
          <w:i w:val="0"/>
          <w:iCs w:val="0"/>
          <w:sz w:val="20"/>
          <w:szCs w:val="20"/>
        </w:rPr>
        <w:t xml:space="preserve">pour le </w:t>
      </w:r>
      <w:r w:rsidRPr="00445869">
        <w:rPr>
          <w:rStyle w:val="Accentuation"/>
          <w:i w:val="0"/>
          <w:iCs w:val="0"/>
          <w:sz w:val="20"/>
          <w:szCs w:val="20"/>
        </w:rPr>
        <w:t>championnat fédéral). Il se déroulera sur l’ensemble du territoire, les clubs devront lors de leur engagement proposer un créneau de terrain permettant le déroulement de leurs matchs à domicile. Ils devront en outre désigner aussi un arbitre assistant attaché à cette équipe.</w:t>
      </w:r>
    </w:p>
    <w:p w14:paraId="61F69A08" w14:textId="434C9295" w:rsidR="002E3C87" w:rsidRDefault="002E3C87" w:rsidP="002E3C87">
      <w:pPr>
        <w:rPr>
          <w:rFonts w:ascii="Arial" w:hAnsi="Arial" w:cs="Arial"/>
          <w:sz w:val="20"/>
          <w:szCs w:val="20"/>
        </w:rPr>
      </w:pPr>
      <w:r w:rsidRPr="00356AC3">
        <w:rPr>
          <w:rFonts w:ascii="Arial" w:hAnsi="Arial" w:cs="Arial"/>
          <w:sz w:val="20"/>
          <w:szCs w:val="20"/>
        </w:rPr>
        <w:t>La formule de cette compétition sera déterminée par la CFFJ en fonction du nombre d’engagé et devra à minima proposer entre 10 et 14 journées calquées au maximum sur le calendrier général</w:t>
      </w:r>
      <w:r w:rsidR="00356AC3">
        <w:rPr>
          <w:rFonts w:ascii="Arial" w:hAnsi="Arial" w:cs="Arial"/>
          <w:sz w:val="20"/>
          <w:szCs w:val="20"/>
        </w:rPr>
        <w:t>.</w:t>
      </w:r>
    </w:p>
    <w:p w14:paraId="7CF4923C" w14:textId="77777777" w:rsidR="00356AC3" w:rsidRPr="00356AC3" w:rsidRDefault="00356AC3" w:rsidP="002E3C87">
      <w:pPr>
        <w:rPr>
          <w:rFonts w:ascii="Arial" w:hAnsi="Arial" w:cs="Arial"/>
          <w:sz w:val="20"/>
          <w:szCs w:val="20"/>
        </w:rPr>
      </w:pPr>
    </w:p>
    <w:p w14:paraId="4C800BC8" w14:textId="5B49E764" w:rsidR="002E3C87" w:rsidRPr="00356AC3" w:rsidRDefault="002E3C87" w:rsidP="00356AC3">
      <w:pPr>
        <w:pStyle w:val="Paragraphedeliste"/>
        <w:numPr>
          <w:ilvl w:val="0"/>
          <w:numId w:val="6"/>
        </w:numPr>
        <w:spacing w:after="240"/>
        <w:rPr>
          <w:b/>
          <w:bCs/>
        </w:rPr>
      </w:pPr>
      <w:r w:rsidRPr="00356AC3">
        <w:rPr>
          <w:b/>
          <w:bCs/>
        </w:rPr>
        <w:t>CHAMPIONNATS DE SECTEURS (comités, districts) FOOT A 8</w:t>
      </w:r>
    </w:p>
    <w:p w14:paraId="24C38CD1" w14:textId="77777777" w:rsidR="002E3C87" w:rsidRDefault="002E3C87" w:rsidP="00356AC3">
      <w:pPr>
        <w:spacing w:after="240"/>
        <w:rPr>
          <w:bCs/>
        </w:rPr>
      </w:pPr>
      <w:r w:rsidRPr="00356AC3">
        <w:rPr>
          <w:bCs/>
        </w:rPr>
        <w:t>Les compétitions se dérouleront par secteurs afin de limiter au maximum les déplacements et devront à minima comp</w:t>
      </w:r>
      <w:r w:rsidR="00BB26A8" w:rsidRPr="00356AC3">
        <w:rPr>
          <w:bCs/>
        </w:rPr>
        <w:t>orter 6 journées calquées sur le</w:t>
      </w:r>
      <w:r w:rsidRPr="00356AC3">
        <w:rPr>
          <w:bCs/>
        </w:rPr>
        <w:t xml:space="preserve"> calendrier général.</w:t>
      </w:r>
    </w:p>
    <w:p w14:paraId="50E1EA7C" w14:textId="77777777" w:rsidR="00356AC3" w:rsidRPr="00356AC3" w:rsidRDefault="00356AC3" w:rsidP="002E3C87">
      <w:pPr>
        <w:rPr>
          <w:bCs/>
        </w:rPr>
      </w:pPr>
    </w:p>
    <w:p w14:paraId="094289A1" w14:textId="5478B697" w:rsidR="00BB26A8" w:rsidRPr="00356AC3" w:rsidRDefault="00BB26A8" w:rsidP="00356AC3">
      <w:pPr>
        <w:pStyle w:val="Paragraphedeliste"/>
        <w:numPr>
          <w:ilvl w:val="0"/>
          <w:numId w:val="6"/>
        </w:numPr>
        <w:spacing w:line="360" w:lineRule="auto"/>
        <w:rPr>
          <w:b/>
          <w:bCs/>
        </w:rPr>
      </w:pPr>
      <w:r w:rsidRPr="00356AC3">
        <w:rPr>
          <w:b/>
          <w:bCs/>
        </w:rPr>
        <w:t>LA COUPE DE CALEDONIE U18</w:t>
      </w:r>
    </w:p>
    <w:p w14:paraId="58A693A5" w14:textId="62A84C33" w:rsidR="00BB26A8" w:rsidRDefault="00BB26A8" w:rsidP="00356AC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56AC3">
        <w:rPr>
          <w:rFonts w:ascii="Arial" w:hAnsi="Arial" w:cs="Arial"/>
          <w:bCs/>
          <w:sz w:val="20"/>
          <w:szCs w:val="20"/>
        </w:rPr>
        <w:t xml:space="preserve">Toutes les équipes engagées dans les championnats U18 </w:t>
      </w:r>
      <w:r w:rsidR="0094121B">
        <w:rPr>
          <w:rFonts w:ascii="Arial" w:hAnsi="Arial" w:cs="Arial"/>
          <w:bCs/>
          <w:sz w:val="20"/>
          <w:szCs w:val="20"/>
        </w:rPr>
        <w:t>F</w:t>
      </w:r>
      <w:r w:rsidRPr="00356AC3">
        <w:rPr>
          <w:rFonts w:ascii="Arial" w:hAnsi="Arial" w:cs="Arial"/>
          <w:bCs/>
          <w:sz w:val="20"/>
          <w:szCs w:val="20"/>
        </w:rPr>
        <w:t>édéraux et</w:t>
      </w:r>
      <w:r w:rsidR="00356AC3">
        <w:rPr>
          <w:rFonts w:ascii="Arial" w:hAnsi="Arial" w:cs="Arial"/>
          <w:bCs/>
          <w:sz w:val="20"/>
          <w:szCs w:val="20"/>
        </w:rPr>
        <w:t xml:space="preserve"> T</w:t>
      </w:r>
      <w:r w:rsidRPr="00356AC3">
        <w:rPr>
          <w:rFonts w:ascii="Arial" w:hAnsi="Arial" w:cs="Arial"/>
          <w:bCs/>
          <w:sz w:val="20"/>
          <w:szCs w:val="20"/>
        </w:rPr>
        <w:t xml:space="preserve">erritoriaux participeront de fait à la </w:t>
      </w:r>
      <w:r w:rsidR="00356AC3">
        <w:rPr>
          <w:rFonts w:ascii="Arial" w:hAnsi="Arial" w:cs="Arial"/>
          <w:bCs/>
          <w:sz w:val="20"/>
          <w:szCs w:val="20"/>
        </w:rPr>
        <w:t>C</w:t>
      </w:r>
      <w:r w:rsidRPr="00356AC3">
        <w:rPr>
          <w:rFonts w:ascii="Arial" w:hAnsi="Arial" w:cs="Arial"/>
          <w:bCs/>
          <w:sz w:val="20"/>
          <w:szCs w:val="20"/>
        </w:rPr>
        <w:t xml:space="preserve">oupe de Calédonie U18. Elles </w:t>
      </w:r>
      <w:r w:rsidR="0094121B">
        <w:rPr>
          <w:rFonts w:ascii="Arial" w:hAnsi="Arial" w:cs="Arial"/>
          <w:bCs/>
          <w:sz w:val="20"/>
          <w:szCs w:val="20"/>
        </w:rPr>
        <w:t>pourront être</w:t>
      </w:r>
      <w:r w:rsidRPr="00356AC3">
        <w:rPr>
          <w:rFonts w:ascii="Arial" w:hAnsi="Arial" w:cs="Arial"/>
          <w:bCs/>
          <w:sz w:val="20"/>
          <w:szCs w:val="20"/>
        </w:rPr>
        <w:t xml:space="preserve"> rejointe</w:t>
      </w:r>
      <w:r w:rsidR="00356AC3">
        <w:rPr>
          <w:rFonts w:ascii="Arial" w:hAnsi="Arial" w:cs="Arial"/>
          <w:bCs/>
          <w:sz w:val="20"/>
          <w:szCs w:val="20"/>
        </w:rPr>
        <w:t>s</w:t>
      </w:r>
      <w:r w:rsidRPr="00356AC3">
        <w:rPr>
          <w:rFonts w:ascii="Arial" w:hAnsi="Arial" w:cs="Arial"/>
          <w:bCs/>
          <w:sz w:val="20"/>
          <w:szCs w:val="20"/>
        </w:rPr>
        <w:t xml:space="preserve"> pour cette compétition</w:t>
      </w:r>
      <w:r w:rsidR="00356AC3">
        <w:rPr>
          <w:rFonts w:ascii="Arial" w:hAnsi="Arial" w:cs="Arial"/>
          <w:bCs/>
          <w:sz w:val="20"/>
          <w:szCs w:val="20"/>
        </w:rPr>
        <w:t>,</w:t>
      </w:r>
      <w:r w:rsidRPr="00356AC3">
        <w:rPr>
          <w:rFonts w:ascii="Arial" w:hAnsi="Arial" w:cs="Arial"/>
          <w:bCs/>
          <w:sz w:val="20"/>
          <w:szCs w:val="20"/>
        </w:rPr>
        <w:t xml:space="preserve"> par des ententes entre les équipes engagées en foot à 8 dans les secteurs.</w:t>
      </w:r>
    </w:p>
    <w:p w14:paraId="53105C20" w14:textId="77777777" w:rsidR="00356AC3" w:rsidRDefault="00356AC3" w:rsidP="00356AC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F6DAC87" w14:textId="77777777" w:rsidR="00356AC3" w:rsidRPr="00356AC3" w:rsidRDefault="00356AC3" w:rsidP="00356AC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659F206" w14:textId="53451B2A" w:rsidR="00C052B1" w:rsidRDefault="00356AC3" w:rsidP="00C052B1">
      <w:pPr>
        <w:jc w:val="right"/>
        <w:rPr>
          <w:b/>
        </w:rPr>
      </w:pPr>
      <w:r>
        <w:rPr>
          <w:b/>
        </w:rPr>
        <w:t>Pour</w:t>
      </w:r>
      <w:r w:rsidR="00C052B1">
        <w:rPr>
          <w:b/>
        </w:rPr>
        <w:t xml:space="preserve"> la CFFJ</w:t>
      </w:r>
      <w:r>
        <w:rPr>
          <w:b/>
        </w:rPr>
        <w:t>, le Département Technique,</w:t>
      </w:r>
    </w:p>
    <w:p w14:paraId="73A6D626" w14:textId="77777777" w:rsidR="00C052B1" w:rsidRDefault="00C052B1" w:rsidP="00C052B1">
      <w:pPr>
        <w:jc w:val="right"/>
        <w:rPr>
          <w:b/>
        </w:rPr>
      </w:pPr>
    </w:p>
    <w:p w14:paraId="6CE37446" w14:textId="77777777" w:rsidR="008357CE" w:rsidRDefault="008357CE" w:rsidP="008357CE">
      <w:pPr>
        <w:rPr>
          <w:b/>
        </w:rPr>
      </w:pPr>
    </w:p>
    <w:p w14:paraId="2E5DF729" w14:textId="77777777" w:rsidR="00D2297A" w:rsidRPr="00CF3CC1" w:rsidRDefault="00D2297A" w:rsidP="008357CE">
      <w:pPr>
        <w:rPr>
          <w:b/>
        </w:rPr>
      </w:pPr>
    </w:p>
    <w:sectPr w:rsidR="00D2297A" w:rsidRPr="00CF3CC1" w:rsidSect="00BE079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343"/>
    <w:multiLevelType w:val="hybridMultilevel"/>
    <w:tmpl w:val="21E6F1E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02B5D"/>
    <w:multiLevelType w:val="hybridMultilevel"/>
    <w:tmpl w:val="AA46B6B6"/>
    <w:lvl w:ilvl="0" w:tplc="200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3B5004"/>
    <w:multiLevelType w:val="hybridMultilevel"/>
    <w:tmpl w:val="CE065CF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F5DDF"/>
    <w:multiLevelType w:val="hybridMultilevel"/>
    <w:tmpl w:val="FF70384C"/>
    <w:lvl w:ilvl="0" w:tplc="06C043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372F"/>
    <w:multiLevelType w:val="hybridMultilevel"/>
    <w:tmpl w:val="AB86D7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D294F"/>
    <w:multiLevelType w:val="hybridMultilevel"/>
    <w:tmpl w:val="06367F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20B9B"/>
    <w:multiLevelType w:val="hybridMultilevel"/>
    <w:tmpl w:val="D458D3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A274E9"/>
    <w:multiLevelType w:val="hybridMultilevel"/>
    <w:tmpl w:val="227098B8"/>
    <w:lvl w:ilvl="0" w:tplc="FB0EF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6136">
    <w:abstractNumId w:val="7"/>
  </w:num>
  <w:num w:numId="2" w16cid:durableId="1632443801">
    <w:abstractNumId w:val="5"/>
  </w:num>
  <w:num w:numId="3" w16cid:durableId="1295138262">
    <w:abstractNumId w:val="2"/>
  </w:num>
  <w:num w:numId="4" w16cid:durableId="214243474">
    <w:abstractNumId w:val="4"/>
  </w:num>
  <w:num w:numId="5" w16cid:durableId="1997805347">
    <w:abstractNumId w:val="6"/>
  </w:num>
  <w:num w:numId="6" w16cid:durableId="1745640685">
    <w:abstractNumId w:val="3"/>
  </w:num>
  <w:num w:numId="7" w16cid:durableId="1419403193">
    <w:abstractNumId w:val="0"/>
  </w:num>
  <w:num w:numId="8" w16cid:durableId="160368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1F"/>
    <w:rsid w:val="00087F96"/>
    <w:rsid w:val="000F483B"/>
    <w:rsid w:val="001257C2"/>
    <w:rsid w:val="0015307C"/>
    <w:rsid w:val="001975EA"/>
    <w:rsid w:val="001F41F9"/>
    <w:rsid w:val="0022762C"/>
    <w:rsid w:val="002330E1"/>
    <w:rsid w:val="00285614"/>
    <w:rsid w:val="002E3C87"/>
    <w:rsid w:val="002F06B0"/>
    <w:rsid w:val="00314640"/>
    <w:rsid w:val="0033657B"/>
    <w:rsid w:val="00356AC3"/>
    <w:rsid w:val="00357887"/>
    <w:rsid w:val="003768CF"/>
    <w:rsid w:val="0039099F"/>
    <w:rsid w:val="003A728B"/>
    <w:rsid w:val="003D393C"/>
    <w:rsid w:val="00406268"/>
    <w:rsid w:val="004079AB"/>
    <w:rsid w:val="00445869"/>
    <w:rsid w:val="004A2E51"/>
    <w:rsid w:val="0052625F"/>
    <w:rsid w:val="00532C7E"/>
    <w:rsid w:val="0055643D"/>
    <w:rsid w:val="005F71B1"/>
    <w:rsid w:val="006256C0"/>
    <w:rsid w:val="006342F2"/>
    <w:rsid w:val="006412D2"/>
    <w:rsid w:val="0065111D"/>
    <w:rsid w:val="00660F32"/>
    <w:rsid w:val="006A2736"/>
    <w:rsid w:val="006C1E40"/>
    <w:rsid w:val="006D31A2"/>
    <w:rsid w:val="00735617"/>
    <w:rsid w:val="007D0E3D"/>
    <w:rsid w:val="00830401"/>
    <w:rsid w:val="008357CE"/>
    <w:rsid w:val="00837BE6"/>
    <w:rsid w:val="0094121B"/>
    <w:rsid w:val="009764AE"/>
    <w:rsid w:val="009E2089"/>
    <w:rsid w:val="009F420F"/>
    <w:rsid w:val="00A3244A"/>
    <w:rsid w:val="00A9020F"/>
    <w:rsid w:val="00AB3D8B"/>
    <w:rsid w:val="00B12187"/>
    <w:rsid w:val="00B77AFB"/>
    <w:rsid w:val="00BA0D7B"/>
    <w:rsid w:val="00BB26A8"/>
    <w:rsid w:val="00BE079D"/>
    <w:rsid w:val="00BF0467"/>
    <w:rsid w:val="00C052B1"/>
    <w:rsid w:val="00C53C87"/>
    <w:rsid w:val="00C9520C"/>
    <w:rsid w:val="00CC3136"/>
    <w:rsid w:val="00CE041F"/>
    <w:rsid w:val="00CF3CC1"/>
    <w:rsid w:val="00D2297A"/>
    <w:rsid w:val="00DB1856"/>
    <w:rsid w:val="00E02201"/>
    <w:rsid w:val="00E076B2"/>
    <w:rsid w:val="00E91B03"/>
    <w:rsid w:val="00F40068"/>
    <w:rsid w:val="00F53542"/>
    <w:rsid w:val="00F53C9E"/>
    <w:rsid w:val="00F83FF8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28E"/>
  <w15:chartTrackingRefBased/>
  <w15:docId w15:val="{AF04CCE6-CC3D-4335-B566-CB4068EB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41F"/>
    <w:pPr>
      <w:spacing w:after="240" w:line="312" w:lineRule="atLeast"/>
    </w:pPr>
    <w:rPr>
      <w:rFonts w:ascii="Arial" w:eastAsia="Times New Roman" w:hAnsi="Arial" w:cs="Arial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E041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7C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3C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6A27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CHEVALIER</dc:creator>
  <cp:keywords/>
  <dc:description/>
  <cp:lastModifiedBy>François JOSSE</cp:lastModifiedBy>
  <cp:revision>11</cp:revision>
  <cp:lastPrinted>2024-02-20T06:54:00Z</cp:lastPrinted>
  <dcterms:created xsi:type="dcterms:W3CDTF">2025-02-16T22:18:00Z</dcterms:created>
  <dcterms:modified xsi:type="dcterms:W3CDTF">2025-02-17T00:41:00Z</dcterms:modified>
</cp:coreProperties>
</file>